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1EC4" w14:textId="77777777" w:rsidR="00527AE4" w:rsidRPr="00527AE4" w:rsidRDefault="00527AE4" w:rsidP="00527AE4">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527AE4">
        <w:rPr>
          <w:rFonts w:ascii="Times New Roman" w:eastAsia="Times New Roman" w:hAnsi="Times New Roman" w:cs="Times New Roman"/>
          <w:b/>
          <w:bCs/>
          <w:kern w:val="36"/>
          <w:sz w:val="48"/>
          <w:szCs w:val="48"/>
          <w14:ligatures w14:val="none"/>
        </w:rPr>
        <w:t>Background Knowledge: Geography, Society, and Thought in Ancient China and the West</w:t>
      </w:r>
    </w:p>
    <w:p w14:paraId="163A118F"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4CC05D73" w14:textId="77777777" w:rsidR="00527AE4" w:rsidRPr="00527AE4" w:rsidRDefault="00527AE4" w:rsidP="00527AE4">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27AE4">
        <w:rPr>
          <w:rFonts w:ascii="Times New Roman" w:eastAsia="Times New Roman" w:hAnsi="Times New Roman" w:cs="Times New Roman"/>
          <w:b/>
          <w:bCs/>
          <w:kern w:val="0"/>
          <w:sz w:val="36"/>
          <w:szCs w:val="36"/>
          <w14:ligatures w14:val="none"/>
        </w:rPr>
        <w:t>Geographical Differences Between Ancient China and Greece and Their Influence</w:t>
      </w:r>
    </w:p>
    <w:p w14:paraId="0ACDD358"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15318893"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r w:rsidRPr="00527AE4">
        <w:rPr>
          <w:rFonts w:ascii="Times New Roman" w:eastAsia="Times New Roman" w:hAnsi="Times New Roman" w:cs="Times New Roman"/>
          <w:kern w:val="0"/>
          <w14:ligatures w14:val="none"/>
        </w:rPr>
        <w:t>Ancient China and ancient Greece developed in very different physical environments, which shaped their societies and philosophies. Mainland Greece was fragmented by rugged mountains and surrounded by the sea, leading to the rise of many independent city-states (poleis) rather than a unified empire . Greek communities were separated by mountains and islands, and the Mediterranean Sea became their highway for contact and trade . As a result, commerce and seafaring were central to Greek life. The Greek city-states (e.g. Athens, Sparta) engaged in widespread maritime trade with neighboring lands, giving Greek civilization a cosmopolitan, commercial orientation . Political life in Greece emphasized civic participation and contractual relationships (as seen in Athenian democracy), in part because no single authority could easily dominate the divided terrain . In contrast, the heartland of China consisted of broad river plains (along the Yellow and Yangtze Rivers) with fewer natural barriers between regions. This geography favored the growth of a large, unified agrarian state. Chinese civilization was relatively insular, bounded by oceans, deserts, and mountains at its fringes, but internally it formed a vast contiguous land where a central authority could extend control . Abundant fertile land and river irrigation supported high population density, and managing waterworks (for flood control and irrigation) encouraged strong centralized governance. The ancient Chinese states thus developed as territorial kingdoms that eventually coalesced into a unified empire, founded on agriculture and inland expansion rather than maritime trade . Chinese society acquired an “agricultural DNA”, valuing farming and territorial conquest, whereas the Greeks, with their “commercial DNA,” prized trade and civic autonomy .</w:t>
      </w:r>
    </w:p>
    <w:p w14:paraId="28512C52"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4D1E131D"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r w:rsidRPr="00527AE4">
        <w:rPr>
          <w:rFonts w:ascii="Times New Roman" w:eastAsia="Times New Roman" w:hAnsi="Times New Roman" w:cs="Times New Roman"/>
          <w:kern w:val="0"/>
          <w14:ligatures w14:val="none"/>
        </w:rPr>
        <w:t xml:space="preserve">These geographic conditions influenced each civilization’s intellectual outlook. Greek thinkers, especially in the early classical period, often turned to questions of nature and the cosmos. Nearly all pre-Socratic Greek philosophers emphasized understanding the laws of nature – seeking the fundamental substances or principles (water, air, atoms, etc.) underlying the world . This inclination reflected the Greeks’ exposure to a diverse, open world of seaborne ideas and their decentralized political life that allowed more speculative thought. In ancient China, by contrast, most philosophers (with a few exceptions like Mozi and the Daoists) focused less on abstract cosmology and more on pragmatic human affairs . Chinese Confucian and Legalist scholars were chiefly concerned with ethics, social order, and governance – how to create stability and harmony in the community . This practical bent mirrored the needs of a large </w:t>
      </w:r>
      <w:r w:rsidRPr="00527AE4">
        <w:rPr>
          <w:rFonts w:ascii="Times New Roman" w:eastAsia="Times New Roman" w:hAnsi="Times New Roman" w:cs="Times New Roman"/>
          <w:kern w:val="0"/>
          <w14:ligatures w14:val="none"/>
        </w:rPr>
        <w:lastRenderedPageBreak/>
        <w:t>agrarian society where maintaining social cohesion and effective state control was paramount. While Greek philosophers looked to abstract principles or divine truths beyond the tangible world (e.g. Plato’s realm of forms or a cosmic Logos), Chinese thinkers tended to avoid metaphysical speculation about a world beyond sensory experience . Instead, Chinese thought (aside from Daoism) emphasized moral conduct, proper relationships, and the mandate of Heaven as guiding concepts for society. In summary, Greece’s open, maritime environment fostered competitive city-states, commerce, and inquiry into nature and universal truths, whereas China’s continental agrarian environment fostered centralized order, agrarian values, and philosophic focus on social harmony and statecraft .</w:t>
      </w:r>
    </w:p>
    <w:p w14:paraId="15D02AC3"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6E052B8A" w14:textId="77777777" w:rsidR="00527AE4" w:rsidRPr="00527AE4" w:rsidRDefault="00527AE4" w:rsidP="00527AE4">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27AE4">
        <w:rPr>
          <w:rFonts w:ascii="Times New Roman" w:eastAsia="Times New Roman" w:hAnsi="Times New Roman" w:cs="Times New Roman"/>
          <w:b/>
          <w:bCs/>
          <w:kern w:val="0"/>
          <w:sz w:val="36"/>
          <w:szCs w:val="36"/>
          <w14:ligatures w14:val="none"/>
        </w:rPr>
        <w:t>The Warring States Period (c. 480–221 BCE): Fragmentation, Warfare, and Qin’s Unification</w:t>
      </w:r>
    </w:p>
    <w:p w14:paraId="57644FE2"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3E596998"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r w:rsidRPr="00527AE4">
        <w:rPr>
          <w:rFonts w:ascii="Times New Roman" w:eastAsia="Times New Roman" w:hAnsi="Times New Roman" w:cs="Times New Roman"/>
          <w:kern w:val="0"/>
          <w14:ligatures w14:val="none"/>
        </w:rPr>
        <w:t>Map of the Warring States of China (c. 250 BCE), showing the major states and the gradual expansion of Qin (shaded in red) as it conquered rival kingdoms. By 221 BCE, King Zheng of Qin defeated the last independent state and unified China as the First Emperor .</w:t>
      </w:r>
    </w:p>
    <w:p w14:paraId="0734B38E"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r w:rsidRPr="00527AE4">
        <w:rPr>
          <w:rFonts w:ascii="Times New Roman" w:eastAsia="Times New Roman" w:hAnsi="Times New Roman" w:cs="Times New Roman"/>
          <w:kern w:val="0"/>
          <w14:ligatures w14:val="none"/>
        </w:rPr>
        <w:t>The Warring States period (Zhànguó, 475–221 BCE) was a time of intense interstate conflict and political fragmentation in China. It began when the earlier Zhou kingdom’s authority collapsed, leaving roughly a hundred small states battling for supremacy. Through continual warfare and annexation, these coalesced into seven powerful states by the 4th century BCE . The seven major contenders were Qin, Chu, Zhao, Wei, Han, Yan, and Qi, each ruled by its own king and government . Diplomacy and war dominated this era; alliances shifted and intrigues abounded as each state strove to subjugate the others. The protracted conflict made this one of the bloodiest periods in Chinese history, with chronic violence, massed battles, and social upheaval. Yet it was also a fertile period for innovation. The turmoil spurred the rise of many influential philosophers (Confucian, Daoist, Mohist, Legalist, etc.) who debated how to restore order, and it prompted administrative and military reforms that would shape China for centuries . Over several generations, Qin – the westernmost state – implemented especially aggressive reforms and gradually gained the advantage. Qin’s location on the frontier meant fewer immediate enemies on some borders and a tradition of militarization against non-Chinese tribes, which it leveraged. Under reformers like Shang Yang, Qin centralized power, rewarded military merit, and built up a strong economy (as discussed below). One by one, Qin defeated its rivals. In 221 BCE, the Qin state finally conquered the last of the other kingdoms, achieving the first unification of China under Qin’s king (who declared himself Qin Shihuang, the First Emperor) . The Warring States era thus ended with the triumph of Qin, after more than two centuries of continuous warfare.</w:t>
      </w:r>
    </w:p>
    <w:p w14:paraId="0BD8FF11"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1EBDF6A9"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r w:rsidRPr="00527AE4">
        <w:rPr>
          <w:rFonts w:ascii="Times New Roman" w:eastAsia="Times New Roman" w:hAnsi="Times New Roman" w:cs="Times New Roman"/>
          <w:kern w:val="0"/>
          <w14:ligatures w14:val="none"/>
        </w:rPr>
        <w:t xml:space="preserve">Warfare during the Warring States period grew in scale and complexity as the states fought to survive. Early Zhou-era warfare was conducted by aristocratic charioteers leading small armies, </w:t>
      </w:r>
      <w:r w:rsidRPr="00527AE4">
        <w:rPr>
          <w:rFonts w:ascii="Times New Roman" w:eastAsia="Times New Roman" w:hAnsi="Times New Roman" w:cs="Times New Roman"/>
          <w:kern w:val="0"/>
          <w14:ligatures w14:val="none"/>
        </w:rPr>
        <w:lastRenderedPageBreak/>
        <w:t>but this gave way to new strategies and technologies. By the Warring States era, the nobility’s role in war had diminished; battles were now decided by mass infantry armies of commoner conscripts and cavalry units . States developed iron weapons and tools, replacing bronze for many purposes. The introduction of iron metallurgy (in tools like ploughs and swords) revolutionized agriculture and warfare simultaneously . Iron plowshares and improved farming techniques yielded higher crop production, which in turn supported larger populations and armies . Governments opened new lands for cultivation and built irrigation works to boost food supply. With more peasants available to tax and conscript, rulers could field forces far bigger than before. Infantry were equipped with iron swords, pikes, and the newly invented crossbow, a powerful weapon that could be used effectively by untrained conscripts . The use of crossbows, along with organized drilling of soldiers, made foot armies lethal and not reliant on chariot nobles . Rulers also fortified their realms by building defensive walls, fortresses at strategic passes, and beacon towers to signal invasions . The escalating arms race meant each state had to mobilize its economy for war: craftsmen in royal workshops manufactured weapons and armor in large quantities, and states stockpiled grain to feed troops on long campaigns . Alongside military changes came administrative ones: the old feudal system of lords was replaced by centralized bureaucracies. Kings appointed merit-based generals and officials, diminishing the influence of hereditary nobility . This trend, exemplified in Qin, created a more efficient state apparatus to direct resources toward war. In summary, the Warring States period was characterized by constant warfare and state-building: larger armies, improved agriculture, and centralized control all fed into a cycle of conflict and innovation. These developments set the stage for Qin’s ultimate victory. Qin’s unification in 221 BCE was not only a military triumph but also the culmination of long-term trends in economic and military mobilization that had transformed the Chinese world .</w:t>
      </w:r>
    </w:p>
    <w:p w14:paraId="78AC6FCF"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0A4A3DCE" w14:textId="77777777" w:rsidR="00527AE4" w:rsidRPr="00527AE4" w:rsidRDefault="00527AE4" w:rsidP="00527AE4">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27AE4">
        <w:rPr>
          <w:rFonts w:ascii="Times New Roman" w:eastAsia="Times New Roman" w:hAnsi="Times New Roman" w:cs="Times New Roman"/>
          <w:b/>
          <w:bCs/>
          <w:kern w:val="0"/>
          <w:sz w:val="36"/>
          <w:szCs w:val="36"/>
          <w14:ligatures w14:val="none"/>
        </w:rPr>
        <w:t>The Ethos of “Emphasize Agriculture and Suppress Commerce” in Chinese Thought</w:t>
      </w:r>
    </w:p>
    <w:p w14:paraId="5D31C700"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59AC298F"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r w:rsidRPr="00527AE4">
        <w:rPr>
          <w:rFonts w:ascii="Times New Roman" w:eastAsia="Times New Roman" w:hAnsi="Times New Roman" w:cs="Times New Roman"/>
          <w:kern w:val="0"/>
          <w14:ligatures w14:val="none"/>
        </w:rPr>
        <w:t>Throughout ancient Chinese history, a strong ideological current held that agriculture is the foundation of the state and that commercial pursuits should be strictly limited. This principle, known in later times as “</w:t>
      </w:r>
      <w:r w:rsidRPr="00527AE4">
        <w:rPr>
          <w:rFonts w:ascii="SimSun" w:eastAsia="SimSun" w:hAnsi="SimSun" w:cs="SimSun" w:hint="eastAsia"/>
          <w:kern w:val="0"/>
          <w14:ligatures w14:val="none"/>
        </w:rPr>
        <w:t>重农轻商</w:t>
      </w:r>
      <w:r w:rsidRPr="00527AE4">
        <w:rPr>
          <w:rFonts w:ascii="Times New Roman" w:eastAsia="Times New Roman" w:hAnsi="Times New Roman" w:cs="Times New Roman"/>
          <w:kern w:val="0"/>
          <w14:ligatures w14:val="none"/>
        </w:rPr>
        <w:t xml:space="preserve">” (zhòng nóng qīng shāng, literally “heavy on agriculture, light on commerce”), originated during the turbulent Warring States period and became a cornerstone of Chinese economic thought. The chaotic wars of that era taught reformist statesmen that productive peasants and plentiful grain were vital for survival, whereas trade and luxury were viewed as expendable or even harmful. For example, the Legalist statesman Shang Yang of Qin (4th century BCE) famously reorganized society to serve the twin goals of farming and warfare. Shang Yang’s policies placed overwhelming emphasis on agriculture and the military, while denigrating “nonessential” activities like trade and handicrafts . He incentivized farmers to increase output (through land tenure reforms and strict rewards and punishments) and simultaneously discouraged merchants by levying heavy taxes and social restrictions on them. In Legalist theory, merchants and artisans did not directly contribute to state power – merchants </w:t>
      </w:r>
      <w:r w:rsidRPr="00527AE4">
        <w:rPr>
          <w:rFonts w:ascii="Times New Roman" w:eastAsia="Times New Roman" w:hAnsi="Times New Roman" w:cs="Times New Roman"/>
          <w:kern w:val="0"/>
          <w14:ligatures w14:val="none"/>
        </w:rPr>
        <w:lastRenderedPageBreak/>
        <w:t>merely moved wealth around without creating it – so they were to be suppressed or at least kept out of political influence . This sentiment was echoed by other thinkers of the time. Texts attributed to Han Fei and other Legalists argue that nothing should distract the people from tilling fields or serving in the army; those who “amass riches without tilling” or otherwise avoid essential labor should be tightly controlled . Even Confucian philosophers showed a bias for frugality and agriculture. While Confucianism did not overtly attack commerce as Legalism did, early Confucian writings emphasized the morality of honest labor (with farming seen as most honest) and warned against the corrupting influence of greed. The overall result was an enduring view that farming is honorable and primary, whereas commerce is selfish and secondary.</w:t>
      </w:r>
    </w:p>
    <w:p w14:paraId="3CC335A1"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27ED43CC"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r w:rsidRPr="00527AE4">
        <w:rPr>
          <w:rFonts w:ascii="Times New Roman" w:eastAsia="Times New Roman" w:hAnsi="Times New Roman" w:cs="Times New Roman"/>
          <w:kern w:val="0"/>
          <w14:ligatures w14:val="none"/>
        </w:rPr>
        <w:t>Over the centuries, the “emphasize agriculture, restrain commerce” ideal profoundly influenced Chinese state policies and social values. Rulers in the imperial era often enacted laws to privilege farming populations and restrict mercantile activities. For instance, governments levied higher taxes on merchants, barred them from wearing certain fine clothing or owning land, and in some cases limited their movements, all to prevent traders from accumulating too much wealth or power. The prevailing argument was that the wealth generated by trade was indulgent and could destabilize society if merchants grew overly rich . Scholars and officials routinely portrayed merchants as a potential threat to social harmony, accusing them of hoarding goods, manipulating prices, or exploiting farmers for profit . By contrast, the peasant farmer was idealized as the productive backbone of the nation – “the people’s livelihood depends on agriculture,” and thus agriculture was seen as the root of prosperity and stability. Dynastic governments prioritized agrarian development: they maintained granaries to stabilize grain prices, invested in irrigation and flood control, and promoted agronomic knowledge. This agrarian ideology became deeply ingrained. As one analysis notes, elements of the old Agriculturalist school (which valorized peasant life) were absorbed into mainstream Confucian and Legalist thought, making agrarianism “at times viewed as the essence of the Chinese identity” . Agriculture was regarded as the basis of the state’s wealth and the moral fiber of society, whereas commerce was tolerated only insofar as it served agriculture. The social structure reinforced this view by placing merchants at the bottom of the hierarchy (as discussed in the next section). It is important to note, however, that this philosophy evolved over time. By the Song dynasty (960–1279 CE), China was experiencing a commercial revolution, and the old prejudice against merchants began to soften. Neo-Confucian scholars still praised agriculture, but many also acknowledged the usefulness of traders and money in the economy. Historians observe that from the Song onward, Confucian statecraft gradually accepted commerce as a legitimate part of society, so long as merchants upheld Confucian values and did not engage in unethical practices . Merchants, for their part, often sought to improve their image by funding public works, education, and adopting modest Confucian lifestyles . Thus, while the principle of agrarian primacy remained an official ideal throughout imperial history, in practice the balance between agriculture and commerce became more nuanced. Overall, the ideology of “</w:t>
      </w:r>
      <w:r w:rsidRPr="00527AE4">
        <w:rPr>
          <w:rFonts w:ascii="SimSun" w:eastAsia="SimSun" w:hAnsi="SimSun" w:cs="SimSun" w:hint="eastAsia"/>
          <w:kern w:val="0"/>
          <w14:ligatures w14:val="none"/>
        </w:rPr>
        <w:t>重农轻商</w:t>
      </w:r>
      <w:r w:rsidRPr="00527AE4">
        <w:rPr>
          <w:rFonts w:ascii="Times New Roman" w:eastAsia="Times New Roman" w:hAnsi="Times New Roman" w:cs="Times New Roman"/>
          <w:kern w:val="0"/>
          <w14:ligatures w14:val="none"/>
        </w:rPr>
        <w:t>” shaped Chinese policy for millennia – agriculture was exalted as the lifeblood of the realm, and commerce was deliberately kept in check as a matter of statecraft and moral preference .</w:t>
      </w:r>
    </w:p>
    <w:p w14:paraId="544EA893"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68A5E378" w14:textId="77777777" w:rsidR="00527AE4" w:rsidRPr="00527AE4" w:rsidRDefault="00527AE4" w:rsidP="00527AE4">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527AE4">
        <w:rPr>
          <w:rFonts w:ascii="Times New Roman" w:eastAsia="Times New Roman" w:hAnsi="Times New Roman" w:cs="Times New Roman"/>
          <w:b/>
          <w:bCs/>
          <w:kern w:val="0"/>
          <w:sz w:val="36"/>
          <w:szCs w:val="36"/>
          <w14:ligatures w14:val="none"/>
        </w:rPr>
        <w:lastRenderedPageBreak/>
        <w:t>The Four Occupations: Scholars, Farmers, Artisans, and Merchants in Society</w:t>
      </w:r>
    </w:p>
    <w:p w14:paraId="3F146B27"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0D5F9AFA"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r w:rsidRPr="00527AE4">
        <w:rPr>
          <w:rFonts w:ascii="Times New Roman" w:eastAsia="Times New Roman" w:hAnsi="Times New Roman" w:cs="Times New Roman"/>
          <w:kern w:val="0"/>
          <w14:ligatures w14:val="none"/>
        </w:rPr>
        <w:t xml:space="preserve">Chinese tradition came to describe its social hierarchy in terms of the “four occupations” (sì mín </w:t>
      </w:r>
      <w:r w:rsidRPr="00527AE4">
        <w:rPr>
          <w:rFonts w:ascii="SimSun" w:eastAsia="SimSun" w:hAnsi="SimSun" w:cs="SimSun" w:hint="eastAsia"/>
          <w:kern w:val="0"/>
          <w14:ligatures w14:val="none"/>
        </w:rPr>
        <w:t>四民</w:t>
      </w:r>
      <w:r w:rsidRPr="00527AE4">
        <w:rPr>
          <w:rFonts w:ascii="Times New Roman" w:eastAsia="Times New Roman" w:hAnsi="Times New Roman" w:cs="Times New Roman"/>
          <w:kern w:val="0"/>
          <w14:ligatures w14:val="none"/>
        </w:rPr>
        <w:t>), ranking people by their work as scholars (</w:t>
      </w:r>
      <w:r w:rsidRPr="00527AE4">
        <w:rPr>
          <w:rFonts w:ascii="SimSun" w:eastAsia="SimSun" w:hAnsi="SimSun" w:cs="SimSun" w:hint="eastAsia"/>
          <w:kern w:val="0"/>
          <w14:ligatures w14:val="none"/>
        </w:rPr>
        <w:t>士</w:t>
      </w:r>
      <w:r w:rsidRPr="00527AE4">
        <w:rPr>
          <w:rFonts w:ascii="Times New Roman" w:eastAsia="Times New Roman" w:hAnsi="Times New Roman" w:cs="Times New Roman"/>
          <w:kern w:val="0"/>
          <w14:ligatures w14:val="none"/>
        </w:rPr>
        <w:t xml:space="preserve"> shì), farmers (</w:t>
      </w:r>
      <w:r w:rsidRPr="00527AE4">
        <w:rPr>
          <w:rFonts w:ascii="SimSun" w:eastAsia="SimSun" w:hAnsi="SimSun" w:cs="SimSun" w:hint="eastAsia"/>
          <w:kern w:val="0"/>
          <w14:ligatures w14:val="none"/>
        </w:rPr>
        <w:t>农</w:t>
      </w:r>
      <w:r w:rsidRPr="00527AE4">
        <w:rPr>
          <w:rFonts w:ascii="Times New Roman" w:eastAsia="Times New Roman" w:hAnsi="Times New Roman" w:cs="Times New Roman"/>
          <w:kern w:val="0"/>
          <w14:ligatures w14:val="none"/>
        </w:rPr>
        <w:t xml:space="preserve"> nóng), artisans (</w:t>
      </w:r>
      <w:r w:rsidRPr="00527AE4">
        <w:rPr>
          <w:rFonts w:ascii="SimSun" w:eastAsia="SimSun" w:hAnsi="SimSun" w:cs="SimSun" w:hint="eastAsia"/>
          <w:kern w:val="0"/>
          <w14:ligatures w14:val="none"/>
        </w:rPr>
        <w:t>工</w:t>
      </w:r>
      <w:r w:rsidRPr="00527AE4">
        <w:rPr>
          <w:rFonts w:ascii="Times New Roman" w:eastAsia="Times New Roman" w:hAnsi="Times New Roman" w:cs="Times New Roman"/>
          <w:kern w:val="0"/>
          <w14:ligatures w14:val="none"/>
        </w:rPr>
        <w:t xml:space="preserve"> gōng), and merchants (</w:t>
      </w:r>
      <w:r w:rsidRPr="00527AE4">
        <w:rPr>
          <w:rFonts w:ascii="SimSun" w:eastAsia="SimSun" w:hAnsi="SimSun" w:cs="SimSun" w:hint="eastAsia"/>
          <w:kern w:val="0"/>
          <w14:ligatures w14:val="none"/>
        </w:rPr>
        <w:t>商</w:t>
      </w:r>
      <w:r w:rsidRPr="00527AE4">
        <w:rPr>
          <w:rFonts w:ascii="Times New Roman" w:eastAsia="Times New Roman" w:hAnsi="Times New Roman" w:cs="Times New Roman"/>
          <w:kern w:val="0"/>
          <w14:ligatures w14:val="none"/>
        </w:rPr>
        <w:t xml:space="preserve"> shāng) . This four-fold classification took shape during the Warring States and early imperial periods. Early references to classifying society in this way appear in the late Zhou dynasty. By the Han dynasty (206 BCE – 220 CE), historians like Ban Gu were writing that the idealized social order of antiquity consisted of these four groups . (Ban Gu even claimed the system existed in the Zhou’s golden age, though modern evidence suggests the explicit “four occupations” concept wasn’t fully articulated until the Han era .) In essence, this schema was a Confucian social vision that reflected each group’s perceived function and value to the state. It was not a rigid caste system – it was more of an ethical and social model. The ranking was determined by each occupation’s contribution to the common good and the state’s stability . At the top were the shì (</w:t>
      </w:r>
      <w:r w:rsidRPr="00527AE4">
        <w:rPr>
          <w:rFonts w:ascii="SimSun" w:eastAsia="SimSun" w:hAnsi="SimSun" w:cs="SimSun" w:hint="eastAsia"/>
          <w:kern w:val="0"/>
          <w14:ligatures w14:val="none"/>
        </w:rPr>
        <w:t>士</w:t>
      </w:r>
      <w:r w:rsidRPr="00527AE4">
        <w:rPr>
          <w:rFonts w:ascii="Times New Roman" w:eastAsia="Times New Roman" w:hAnsi="Times New Roman" w:cs="Times New Roman"/>
          <w:kern w:val="0"/>
          <w14:ligatures w14:val="none"/>
        </w:rPr>
        <w:t>), originally meaning the lower aristocratic warriors of early Zhou, but later referring to the educated scholar-officials who governed the country . Next came the farmers (</w:t>
      </w:r>
      <w:r w:rsidRPr="00527AE4">
        <w:rPr>
          <w:rFonts w:ascii="SimSun" w:eastAsia="SimSun" w:hAnsi="SimSun" w:cs="SimSun" w:hint="eastAsia"/>
          <w:kern w:val="0"/>
          <w14:ligatures w14:val="none"/>
        </w:rPr>
        <w:t>农</w:t>
      </w:r>
      <w:r w:rsidRPr="00527AE4">
        <w:rPr>
          <w:rFonts w:ascii="Times New Roman" w:eastAsia="Times New Roman" w:hAnsi="Times New Roman" w:cs="Times New Roman"/>
          <w:kern w:val="0"/>
          <w14:ligatures w14:val="none"/>
        </w:rPr>
        <w:t>), who were the vast majority of the populace and the producers of food. Below them were artisans (</w:t>
      </w:r>
      <w:r w:rsidRPr="00527AE4">
        <w:rPr>
          <w:rFonts w:ascii="SimSun" w:eastAsia="SimSun" w:hAnsi="SimSun" w:cs="SimSun" w:hint="eastAsia"/>
          <w:kern w:val="0"/>
          <w14:ligatures w14:val="none"/>
        </w:rPr>
        <w:t>工</w:t>
      </w:r>
      <w:r w:rsidRPr="00527AE4">
        <w:rPr>
          <w:rFonts w:ascii="Times New Roman" w:eastAsia="Times New Roman" w:hAnsi="Times New Roman" w:cs="Times New Roman"/>
          <w:kern w:val="0"/>
          <w14:ligatures w14:val="none"/>
        </w:rPr>
        <w:t>), the skilled craftsmen who made tools and goods, and at the bottom were merchants (</w:t>
      </w:r>
      <w:r w:rsidRPr="00527AE4">
        <w:rPr>
          <w:rFonts w:ascii="SimSun" w:eastAsia="SimSun" w:hAnsi="SimSun" w:cs="SimSun" w:hint="eastAsia"/>
          <w:kern w:val="0"/>
          <w14:ligatures w14:val="none"/>
        </w:rPr>
        <w:t>商</w:t>
      </w:r>
      <w:r w:rsidRPr="00527AE4">
        <w:rPr>
          <w:rFonts w:ascii="Times New Roman" w:eastAsia="Times New Roman" w:hAnsi="Times New Roman" w:cs="Times New Roman"/>
          <w:kern w:val="0"/>
          <w14:ligatures w14:val="none"/>
        </w:rPr>
        <w:t>), the traders whose role was to circulate goods and money. The underlying rationale, as described by Han scholars, was that scholars use their mind, farmers provide the basic wealth (grain), artisans provide useful labor, and merchants only trade what others produce . In other words, those who labored with their intellect (governing and planning) or with productive toil were esteemed, whereas those who profited from exchange were looked at askance. This conception aligned neatly with the “heavy agriculture, light commerce” doctrine: the farmer was celebrated as the “primary creator of wealth”, and the merchant was viewed as a potential “disturbance” if wealth accumulation or speculation went too far . Notably, historical texts did not always agree on the exact order – for example, the philosopher Xunzi (3rd century BCE) even placed farmers above scholars in one enumeration, and some texts argued all four were equally important . But the most common ordering in later centuries was scholar &gt; farmer &gt; artisan &gt; merchant, reflecting Confucian values and state interests.</w:t>
      </w:r>
    </w:p>
    <w:p w14:paraId="27C91A33"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68FEE4E6"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r w:rsidRPr="00527AE4">
        <w:rPr>
          <w:rFonts w:ascii="Times New Roman" w:eastAsia="Times New Roman" w:hAnsi="Times New Roman" w:cs="Times New Roman"/>
          <w:kern w:val="0"/>
          <w14:ligatures w14:val="none"/>
        </w:rPr>
        <w:t xml:space="preserve">In practice, the “four occupations” were never an absolute or hereditary system, but they had real social significance. The highest group, the shì class, transformed over time from feudal knights into the bureaucratic gentry-scholar class . During the imperial era, the shì were the educated elites who could become officials by passing civil service examinations (introduced starting in the Han and firmly established by the Sui-Tang period). This offered a measure of social mobility – theoretically any male commoner who was talented and learned could join the ranks of the officials, so the four classes were not fixed castes . The shì enjoyed prestige as the moral and intellectual leaders of society. They were expected to exemplify virtue, study the Confucian classics, and advise rulers, all while overseeing administration. Crucially, the scholar-gentry were often landowners too. Many scholar-official families owned rural estates, which means they </w:t>
      </w:r>
      <w:r w:rsidRPr="00527AE4">
        <w:rPr>
          <w:rFonts w:ascii="Times New Roman" w:eastAsia="Times New Roman" w:hAnsi="Times New Roman" w:cs="Times New Roman"/>
          <w:kern w:val="0"/>
          <w14:ligatures w14:val="none"/>
        </w:rPr>
        <w:lastRenderedPageBreak/>
        <w:t>relied on farmer tenants for income . This created a symbiotic relationship between the top two classes: the scholars depended on agriculture (rents and taxes from farmers) to sustain their lifestyle, and in return they were supposed to govern wisely and look after the people’s welfare. The farmers (nong), who formed the economic base, were regarded as “the foundation of the state”. Chinese writings often state that “the farmer’s food sustains all and the farmer’s taxes support the state.” Indeed, throughout pre-modern China, the bulk of state revenue came from land taxes on peasant farmers . So, although peasants were lower in status than scholars, they were honored in principle as indispensable. A saying in the Han era described the ideal social hierarchy as: “Scholars are the leaders of the people, farmers are the basis of the people”. The artisans (gong) were respected for their skills (making tools, pottery, textiles, etc.), and since their labor was productive (though not as fundamental as farming), they were ranked above merchants. Artisans often worked on government projects or sold goods in markets; they did not generate grain or pay land tax, but they provided essentials and were valued for that . The merchants (shang), by contrast, had the lowest official esteem. As mentioned, they were viewed with suspicion for profiting off others’ work. Officials feared that unscrupulous merchants could exploit shortages or inflate prices, hurting consumers (especially farmers) . Nonetheless, it is worth noting that many merchants in China became quite wealthy and influential despite their low theoretical status . Over time, the lines between the classes blurred; rich merchant families might buy land or education for their sons to enter the gentry, and impoverished scholar families might engage in trade. By the late imperial period, scholars and merchants sometimes merged into an entrepreneurial elite, and commerce was often handled by networks of families that included degree-holders . Still, the ideological importance of the four occupations remained: it provided a mental model of society that reinforced the Confucian social order. In that model, “scholars and farmers” were the two pillars – one guiding the state, the other nourishing it. The relationship between shì and nóng was ideally one of mutual dependence and harmony: the scholar-gentry would govern humanely and set an example of virtue, while the farmers would toil conscientiously to supply food and revenue for the nation . This ideal was often more aspirational than reality, but it deeply influenced Chinese culture. The legacy of the four occupations can be seen as a reflection of China’s agrarian priorities and its enduring belief in a hierarchical yet reciprocal social structure, with the cultivated scholar and the diligent farmer at its heart .</w:t>
      </w:r>
    </w:p>
    <w:p w14:paraId="15A04B9C"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p>
    <w:p w14:paraId="41816368" w14:textId="77777777" w:rsidR="00527AE4" w:rsidRPr="00527AE4" w:rsidRDefault="00527AE4" w:rsidP="00527AE4">
      <w:pPr>
        <w:spacing w:before="100" w:beforeAutospacing="1" w:after="100" w:afterAutospacing="1" w:line="240" w:lineRule="auto"/>
        <w:rPr>
          <w:rFonts w:ascii="Times New Roman" w:eastAsia="Times New Roman" w:hAnsi="Times New Roman" w:cs="Times New Roman"/>
          <w:kern w:val="0"/>
          <w14:ligatures w14:val="none"/>
        </w:rPr>
      </w:pPr>
      <w:r w:rsidRPr="00527AE4">
        <w:rPr>
          <w:rFonts w:ascii="Times New Roman" w:eastAsia="Times New Roman" w:hAnsi="Times New Roman" w:cs="Times New Roman"/>
          <w:kern w:val="0"/>
          <w14:ligatures w14:val="none"/>
        </w:rPr>
        <w:t>Sources: The information above is drawn from authoritative historical analyses and translations. Key references include the Stanford Encyclopedia of Philosophy on Legalism , Encyclopædia Britannica on the Warring States , the World History Encyclopedia , National Geographic’s educational materials on Greek city-states , and scholarly works on Chinese economic thought and social structure , among others. These sources provide a researched foundation for understanding how geography, economy, and ideology intertwined in ancient China and Greece.</w:t>
      </w:r>
    </w:p>
    <w:p w14:paraId="06E26478" w14:textId="77777777" w:rsidR="00137E39" w:rsidRPr="00527AE4" w:rsidRDefault="00137E39">
      <w:pPr>
        <w:rPr>
          <w:rFonts w:hint="eastAsia"/>
          <w:lang w:val="en-US"/>
        </w:rPr>
      </w:pPr>
    </w:p>
    <w:sectPr w:rsidR="00137E39" w:rsidRPr="00527AE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E4"/>
    <w:rsid w:val="00137E39"/>
    <w:rsid w:val="00527AE4"/>
    <w:rsid w:val="006B106D"/>
    <w:rsid w:val="00961457"/>
    <w:rsid w:val="00AC7A65"/>
    <w:rsid w:val="00F30B29"/>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20C68"/>
  <w15:chartTrackingRefBased/>
  <w15:docId w15:val="{2D0AD11F-110F-1A48-86FE-A4481948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N"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正文"/>
    <w:qFormat/>
    <w:rsid w:val="00AC7A65"/>
  </w:style>
  <w:style w:type="paragraph" w:styleId="Heading1">
    <w:name w:val="heading 1"/>
    <w:basedOn w:val="Normal"/>
    <w:next w:val="Normal"/>
    <w:link w:val="Heading1Char"/>
    <w:uiPriority w:val="9"/>
    <w:qFormat/>
    <w:rsid w:val="00527A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27A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7A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7A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7A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7A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7A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7A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7A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小节标题 n.n"/>
    <w:basedOn w:val="Normal"/>
    <w:next w:val="Normal"/>
    <w:link w:val="SubtitleChar"/>
    <w:uiPriority w:val="11"/>
    <w:qFormat/>
    <w:rsid w:val="00961457"/>
    <w:pPr>
      <w:numPr>
        <w:ilvl w:val="1"/>
      </w:numPr>
    </w:pPr>
    <w:rPr>
      <w:rFonts w:ascii="Times New Roman" w:eastAsiaTheme="majorEastAsia" w:hAnsi="Times New Roman" w:cstheme="majorBidi"/>
      <w:color w:val="000000" w:themeColor="text1"/>
      <w:spacing w:val="15"/>
      <w:sz w:val="28"/>
      <w:szCs w:val="28"/>
    </w:rPr>
  </w:style>
  <w:style w:type="character" w:customStyle="1" w:styleId="SubtitleChar">
    <w:name w:val="Subtitle Char"/>
    <w:aliases w:val="小节标题 n.n Char"/>
    <w:basedOn w:val="DefaultParagraphFont"/>
    <w:link w:val="Subtitle"/>
    <w:uiPriority w:val="11"/>
    <w:rsid w:val="00961457"/>
    <w:rPr>
      <w:rFonts w:ascii="Times New Roman" w:eastAsiaTheme="majorEastAsia" w:hAnsi="Times New Roman" w:cstheme="majorBidi"/>
      <w:color w:val="000000" w:themeColor="text1"/>
      <w:spacing w:val="15"/>
      <w:sz w:val="28"/>
      <w:szCs w:val="28"/>
    </w:rPr>
  </w:style>
  <w:style w:type="character" w:customStyle="1" w:styleId="Heading1Char">
    <w:name w:val="Heading 1 Char"/>
    <w:basedOn w:val="DefaultParagraphFont"/>
    <w:link w:val="Heading1"/>
    <w:uiPriority w:val="9"/>
    <w:rsid w:val="00527A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27A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7A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7A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7A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7A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7A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7A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7AE4"/>
    <w:rPr>
      <w:rFonts w:eastAsiaTheme="majorEastAsia" w:cstheme="majorBidi"/>
      <w:color w:val="272727" w:themeColor="text1" w:themeTint="D8"/>
    </w:rPr>
  </w:style>
  <w:style w:type="paragraph" w:styleId="Title">
    <w:name w:val="Title"/>
    <w:basedOn w:val="Normal"/>
    <w:next w:val="Normal"/>
    <w:link w:val="TitleChar"/>
    <w:uiPriority w:val="10"/>
    <w:qFormat/>
    <w:rsid w:val="00527A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7AE4"/>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527AE4"/>
    <w:pPr>
      <w:spacing w:before="160"/>
      <w:jc w:val="center"/>
    </w:pPr>
    <w:rPr>
      <w:i/>
      <w:iCs/>
      <w:color w:val="404040" w:themeColor="text1" w:themeTint="BF"/>
    </w:rPr>
  </w:style>
  <w:style w:type="character" w:customStyle="1" w:styleId="QuoteChar">
    <w:name w:val="Quote Char"/>
    <w:basedOn w:val="DefaultParagraphFont"/>
    <w:link w:val="Quote"/>
    <w:uiPriority w:val="29"/>
    <w:rsid w:val="00527AE4"/>
    <w:rPr>
      <w:i/>
      <w:iCs/>
      <w:color w:val="404040" w:themeColor="text1" w:themeTint="BF"/>
    </w:rPr>
  </w:style>
  <w:style w:type="paragraph" w:styleId="ListParagraph">
    <w:name w:val="List Paragraph"/>
    <w:basedOn w:val="Normal"/>
    <w:uiPriority w:val="34"/>
    <w:qFormat/>
    <w:rsid w:val="00527AE4"/>
    <w:pPr>
      <w:ind w:left="720"/>
      <w:contextualSpacing/>
    </w:pPr>
  </w:style>
  <w:style w:type="character" w:styleId="IntenseEmphasis">
    <w:name w:val="Intense Emphasis"/>
    <w:basedOn w:val="DefaultParagraphFont"/>
    <w:uiPriority w:val="21"/>
    <w:qFormat/>
    <w:rsid w:val="00527AE4"/>
    <w:rPr>
      <w:i/>
      <w:iCs/>
      <w:color w:val="0F4761" w:themeColor="accent1" w:themeShade="BF"/>
    </w:rPr>
  </w:style>
  <w:style w:type="paragraph" w:styleId="IntenseQuote">
    <w:name w:val="Intense Quote"/>
    <w:basedOn w:val="Normal"/>
    <w:next w:val="Normal"/>
    <w:link w:val="IntenseQuoteChar"/>
    <w:uiPriority w:val="30"/>
    <w:qFormat/>
    <w:rsid w:val="00527A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7AE4"/>
    <w:rPr>
      <w:i/>
      <w:iCs/>
      <w:color w:val="0F4761" w:themeColor="accent1" w:themeShade="BF"/>
    </w:rPr>
  </w:style>
  <w:style w:type="character" w:styleId="IntenseReference">
    <w:name w:val="Intense Reference"/>
    <w:basedOn w:val="DefaultParagraphFont"/>
    <w:uiPriority w:val="32"/>
    <w:qFormat/>
    <w:rsid w:val="00527AE4"/>
    <w:rPr>
      <w:b/>
      <w:bCs/>
      <w:smallCaps/>
      <w:color w:val="0F4761" w:themeColor="accent1" w:themeShade="BF"/>
      <w:spacing w:val="5"/>
    </w:rPr>
  </w:style>
  <w:style w:type="character" w:customStyle="1" w:styleId="s1">
    <w:name w:val="s1"/>
    <w:basedOn w:val="DefaultParagraphFont"/>
    <w:rsid w:val="00527AE4"/>
  </w:style>
  <w:style w:type="paragraph" w:customStyle="1" w:styleId="p2">
    <w:name w:val="p2"/>
    <w:basedOn w:val="Normal"/>
    <w:rsid w:val="00527AE4"/>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2">
    <w:name w:val="s2"/>
    <w:basedOn w:val="DefaultParagraphFont"/>
    <w:rsid w:val="00527AE4"/>
  </w:style>
  <w:style w:type="paragraph" w:customStyle="1" w:styleId="p3">
    <w:name w:val="p3"/>
    <w:basedOn w:val="Normal"/>
    <w:rsid w:val="00527AE4"/>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4">
    <w:name w:val="s4"/>
    <w:basedOn w:val="DefaultParagraphFont"/>
    <w:rsid w:val="00527AE4"/>
  </w:style>
  <w:style w:type="character" w:customStyle="1" w:styleId="s5">
    <w:name w:val="s5"/>
    <w:basedOn w:val="DefaultParagraphFont"/>
    <w:rsid w:val="00527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3014</Words>
  <Characters>17182</Characters>
  <Application>Microsoft Office Word</Application>
  <DocSecurity>0</DocSecurity>
  <Lines>143</Lines>
  <Paragraphs>40</Paragraphs>
  <ScaleCrop>false</ScaleCrop>
  <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t46984</dc:creator>
  <cp:keywords/>
  <dc:description/>
  <cp:lastModifiedBy>t46984</cp:lastModifiedBy>
  <cp:revision>1</cp:revision>
  <dcterms:created xsi:type="dcterms:W3CDTF">2025-12-18T10:35:00Z</dcterms:created>
  <dcterms:modified xsi:type="dcterms:W3CDTF">2025-12-18T10:46:00Z</dcterms:modified>
</cp:coreProperties>
</file>